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BD71" w14:textId="77777777" w:rsidR="00CE36BD" w:rsidRDefault="00000000">
      <w:pPr>
        <w:pStyle w:val="Nadpis1"/>
        <w:rPr>
          <w:lang w:eastAsia="en-US"/>
        </w:rPr>
      </w:pPr>
      <w:r>
        <w:rPr>
          <w:lang w:eastAsia="en-US"/>
        </w:rPr>
        <w:t>Smlouva o poskytnutí pečovatelské služby</w:t>
      </w:r>
    </w:p>
    <w:p w14:paraId="60C57C01" w14:textId="65A0BC7E" w:rsidR="00CE36BD" w:rsidRDefault="00000000">
      <w:pPr>
        <w:pStyle w:val="Podnadpis"/>
        <w:rPr>
          <w:bCs/>
        </w:rPr>
      </w:pPr>
      <w:r>
        <w:rPr>
          <w:bCs/>
        </w:rPr>
        <w:t xml:space="preserve">evidenční číslo:     </w:t>
      </w:r>
    </w:p>
    <w:p w14:paraId="13331832" w14:textId="77777777" w:rsidR="00CE36BD" w:rsidRDefault="00CE36BD">
      <w:pPr>
        <w:spacing w:line="360" w:lineRule="auto"/>
        <w:rPr>
          <w:rFonts w:ascii="Times New Roman" w:hAnsi="Times New Roman" w:cs="Times New Roman"/>
          <w:bCs/>
          <w:sz w:val="24"/>
          <w:szCs w:val="24"/>
        </w:rPr>
      </w:pPr>
    </w:p>
    <w:p w14:paraId="2A33E3DF"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Níže uvedeného dne, měsíce a roku uzavřeli</w:t>
      </w:r>
    </w:p>
    <w:p w14:paraId="23B9B436" w14:textId="626C1BC4"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 Pan/í:   </w:t>
      </w:r>
    </w:p>
    <w:p w14:paraId="2643390F" w14:textId="687220EB"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Narozen/a:   </w:t>
      </w:r>
    </w:p>
    <w:p w14:paraId="7BF0CC30"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Bydliště:   Dřevčice 121, Dřevčice, 25001, CZ</w:t>
      </w:r>
    </w:p>
    <w:p w14:paraId="5FD6422D"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Zastoupen/a:               </w:t>
      </w:r>
    </w:p>
    <w:p w14:paraId="39B59230" w14:textId="77777777" w:rsidR="00CE36BD" w:rsidRDefault="00000000">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(v textu této smlouvy dále jen „Klient“)</w:t>
      </w:r>
    </w:p>
    <w:p w14:paraId="05B60D1D" w14:textId="77777777" w:rsidR="00CE36BD" w:rsidRDefault="00CE36BD">
      <w:pPr>
        <w:spacing w:line="360" w:lineRule="auto"/>
        <w:rPr>
          <w:rFonts w:ascii="Times New Roman" w:hAnsi="Times New Roman" w:cs="Times New Roman"/>
          <w:bCs/>
          <w:sz w:val="24"/>
          <w:szCs w:val="24"/>
        </w:rPr>
      </w:pPr>
    </w:p>
    <w:p w14:paraId="3421C490"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a</w:t>
      </w:r>
    </w:p>
    <w:p w14:paraId="0E7E968A" w14:textId="77777777" w:rsidR="00CE36BD" w:rsidRDefault="00CE36BD">
      <w:pPr>
        <w:spacing w:line="360" w:lineRule="auto"/>
        <w:rPr>
          <w:rFonts w:ascii="Times New Roman" w:hAnsi="Times New Roman" w:cs="Times New Roman"/>
          <w:bCs/>
          <w:sz w:val="24"/>
          <w:szCs w:val="24"/>
        </w:rPr>
      </w:pPr>
    </w:p>
    <w:p w14:paraId="2961F7E3"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2) Domov seniorů Jenštejn, poskytovatel sociálních služeb,</w:t>
      </w:r>
    </w:p>
    <w:p w14:paraId="2E6F8B72"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se sídlem: Vinořská 78, 250 73 Jenštejn, </w:t>
      </w:r>
    </w:p>
    <w:p w14:paraId="08454EF0"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IČ: 712 29 108</w:t>
      </w:r>
    </w:p>
    <w:p w14:paraId="65F1FB57" w14:textId="77777777" w:rsidR="00CE36BD" w:rsidRDefault="00000000">
      <w:pPr>
        <w:spacing w:line="360" w:lineRule="auto"/>
        <w:rPr>
          <w:rFonts w:ascii="Times New Roman" w:hAnsi="Times New Roman" w:cs="Times New Roman"/>
          <w:bCs/>
          <w:i/>
          <w:iCs/>
          <w:sz w:val="24"/>
          <w:szCs w:val="24"/>
        </w:rPr>
      </w:pPr>
      <w:r>
        <w:rPr>
          <w:rFonts w:ascii="Times New Roman" w:hAnsi="Times New Roman" w:cs="Times New Roman"/>
          <w:bCs/>
          <w:i/>
          <w:iCs/>
          <w:sz w:val="24"/>
          <w:szCs w:val="24"/>
        </w:rPr>
        <w:t>(v textu této smlouvy dále jen „Poskytovatel“)</w:t>
      </w:r>
    </w:p>
    <w:p w14:paraId="0F44349D"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zastoupený Mgr. Jiřím Plonerem, ředitelem organizace</w:t>
      </w:r>
    </w:p>
    <w:p w14:paraId="46A3361D"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v souladu se zákonem č. 108/2006 Sb., o sociálních službách, tuto </w:t>
      </w:r>
    </w:p>
    <w:p w14:paraId="7E5FD085" w14:textId="77777777" w:rsidR="00CE36BD" w:rsidRDefault="00CE36BD">
      <w:pPr>
        <w:spacing w:line="360" w:lineRule="auto"/>
        <w:rPr>
          <w:rFonts w:ascii="Times New Roman" w:hAnsi="Times New Roman" w:cs="Times New Roman"/>
          <w:bCs/>
          <w:sz w:val="24"/>
          <w:szCs w:val="24"/>
        </w:rPr>
      </w:pPr>
    </w:p>
    <w:p w14:paraId="3CCF844A" w14:textId="77777777" w:rsidR="00CE36BD" w:rsidRDefault="00CE36BD">
      <w:pPr>
        <w:spacing w:line="360" w:lineRule="auto"/>
        <w:rPr>
          <w:rFonts w:ascii="Times New Roman" w:hAnsi="Times New Roman" w:cs="Times New Roman"/>
          <w:bCs/>
          <w:sz w:val="24"/>
          <w:szCs w:val="24"/>
        </w:rPr>
      </w:pPr>
    </w:p>
    <w:p w14:paraId="0012DC09" w14:textId="77777777" w:rsidR="00CE36BD" w:rsidRDefault="00CE36BD">
      <w:pPr>
        <w:spacing w:line="360" w:lineRule="auto"/>
        <w:rPr>
          <w:rFonts w:ascii="Times New Roman" w:hAnsi="Times New Roman" w:cs="Times New Roman"/>
          <w:bCs/>
          <w:sz w:val="24"/>
          <w:szCs w:val="24"/>
        </w:rPr>
      </w:pPr>
    </w:p>
    <w:p w14:paraId="6E8FEDE1" w14:textId="77777777" w:rsidR="00CE36BD" w:rsidRDefault="00CE36BD">
      <w:pPr>
        <w:spacing w:line="360" w:lineRule="auto"/>
        <w:rPr>
          <w:rFonts w:ascii="Times New Roman" w:hAnsi="Times New Roman" w:cs="Times New Roman"/>
          <w:bCs/>
          <w:sz w:val="24"/>
          <w:szCs w:val="24"/>
        </w:rPr>
      </w:pPr>
    </w:p>
    <w:p w14:paraId="22A5BBD0" w14:textId="77777777" w:rsidR="00CE36BD" w:rsidRDefault="00CE36BD">
      <w:pPr>
        <w:spacing w:line="360" w:lineRule="auto"/>
        <w:rPr>
          <w:rFonts w:ascii="Times New Roman" w:hAnsi="Times New Roman" w:cs="Times New Roman"/>
          <w:bCs/>
          <w:sz w:val="24"/>
          <w:szCs w:val="24"/>
        </w:rPr>
      </w:pPr>
    </w:p>
    <w:p w14:paraId="4B22F167" w14:textId="77777777" w:rsidR="00CE36BD" w:rsidRDefault="00000000">
      <w:pPr>
        <w:spacing w:line="360" w:lineRule="auto"/>
        <w:jc w:val="center"/>
        <w:rPr>
          <w:rFonts w:ascii="Times New Roman" w:hAnsi="Times New Roman" w:cs="Times New Roman"/>
          <w:bCs/>
          <w:sz w:val="28"/>
          <w:szCs w:val="28"/>
        </w:rPr>
      </w:pPr>
      <w:r>
        <w:rPr>
          <w:rFonts w:ascii="Times New Roman" w:hAnsi="Times New Roman" w:cs="Times New Roman"/>
          <w:bCs/>
          <w:sz w:val="28"/>
          <w:szCs w:val="28"/>
        </w:rPr>
        <w:t>Smlouvu o poskytnutí pečovatelské služby podle § 40 citovaného zákona</w:t>
      </w:r>
    </w:p>
    <w:p w14:paraId="1693EA44" w14:textId="77777777" w:rsidR="00CE36BD" w:rsidRDefault="00000000">
      <w:pPr>
        <w:spacing w:line="360" w:lineRule="auto"/>
        <w:jc w:val="center"/>
        <w:rPr>
          <w:rFonts w:ascii="Times New Roman" w:hAnsi="Times New Roman" w:cs="Times New Roman"/>
          <w:bCs/>
          <w:i/>
          <w:iCs/>
          <w:sz w:val="24"/>
          <w:szCs w:val="24"/>
        </w:rPr>
      </w:pPr>
      <w:r>
        <w:rPr>
          <w:rFonts w:ascii="Times New Roman" w:hAnsi="Times New Roman" w:cs="Times New Roman"/>
          <w:bCs/>
          <w:i/>
          <w:iCs/>
          <w:sz w:val="24"/>
          <w:szCs w:val="24"/>
        </w:rPr>
        <w:t>(v textu této smlouvy dále jen „Smlouva“)</w:t>
      </w:r>
    </w:p>
    <w:p w14:paraId="438EF11E"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5DC4F180" w14:textId="77777777" w:rsidR="00CE36BD" w:rsidRDefault="00CE36BD">
      <w:pPr>
        <w:spacing w:line="360" w:lineRule="auto"/>
        <w:rPr>
          <w:rFonts w:ascii="Times New Roman" w:hAnsi="Times New Roman" w:cs="Times New Roman"/>
          <w:bCs/>
          <w:sz w:val="24"/>
          <w:szCs w:val="24"/>
        </w:rPr>
      </w:pPr>
    </w:p>
    <w:p w14:paraId="6771A107" w14:textId="77777777" w:rsidR="00CE36BD" w:rsidRDefault="00CE36BD">
      <w:pPr>
        <w:spacing w:line="360" w:lineRule="auto"/>
        <w:rPr>
          <w:rFonts w:ascii="Times New Roman" w:hAnsi="Times New Roman" w:cs="Times New Roman"/>
          <w:bCs/>
          <w:sz w:val="24"/>
          <w:szCs w:val="24"/>
        </w:rPr>
      </w:pPr>
    </w:p>
    <w:p w14:paraId="0D3B681B" w14:textId="77777777" w:rsidR="00CE36BD" w:rsidRDefault="00CE36BD">
      <w:pPr>
        <w:spacing w:line="360" w:lineRule="auto"/>
        <w:rPr>
          <w:rFonts w:ascii="Times New Roman" w:hAnsi="Times New Roman" w:cs="Times New Roman"/>
          <w:bCs/>
          <w:sz w:val="24"/>
          <w:szCs w:val="24"/>
        </w:rPr>
      </w:pPr>
    </w:p>
    <w:p w14:paraId="3B159020" w14:textId="77777777" w:rsidR="00CE36BD" w:rsidRDefault="00CE36BD">
      <w:pPr>
        <w:spacing w:line="360" w:lineRule="auto"/>
        <w:rPr>
          <w:rFonts w:ascii="Times New Roman" w:hAnsi="Times New Roman" w:cs="Times New Roman"/>
          <w:bCs/>
          <w:sz w:val="24"/>
          <w:szCs w:val="24"/>
        </w:rPr>
      </w:pPr>
    </w:p>
    <w:p w14:paraId="4546FDEE" w14:textId="77777777" w:rsidR="00CE36BD" w:rsidRDefault="00CE36BD">
      <w:pPr>
        <w:spacing w:line="360" w:lineRule="auto"/>
        <w:rPr>
          <w:rFonts w:ascii="Times New Roman" w:hAnsi="Times New Roman" w:cs="Times New Roman"/>
          <w:bCs/>
          <w:sz w:val="24"/>
          <w:szCs w:val="24"/>
        </w:rPr>
      </w:pPr>
    </w:p>
    <w:p w14:paraId="4F88794A" w14:textId="77777777" w:rsidR="00CE36BD" w:rsidRDefault="00CE36BD">
      <w:pPr>
        <w:spacing w:line="360" w:lineRule="auto"/>
        <w:rPr>
          <w:rFonts w:ascii="Times New Roman" w:hAnsi="Times New Roman" w:cs="Times New Roman"/>
          <w:bCs/>
          <w:sz w:val="24"/>
          <w:szCs w:val="24"/>
        </w:rPr>
      </w:pPr>
    </w:p>
    <w:p w14:paraId="41A1DFF4" w14:textId="77777777" w:rsidR="00CE36BD" w:rsidRDefault="00CE36BD">
      <w:pPr>
        <w:spacing w:line="360" w:lineRule="auto"/>
        <w:rPr>
          <w:rFonts w:ascii="Times New Roman" w:hAnsi="Times New Roman" w:cs="Times New Roman"/>
          <w:bCs/>
          <w:sz w:val="24"/>
          <w:szCs w:val="24"/>
        </w:rPr>
      </w:pPr>
    </w:p>
    <w:p w14:paraId="7A1965D5" w14:textId="77777777" w:rsidR="00CE36BD" w:rsidRDefault="00CE36BD">
      <w:pPr>
        <w:spacing w:line="360" w:lineRule="auto"/>
        <w:rPr>
          <w:rFonts w:ascii="Times New Roman" w:hAnsi="Times New Roman" w:cs="Times New Roman"/>
          <w:bCs/>
          <w:sz w:val="24"/>
          <w:szCs w:val="24"/>
        </w:rPr>
      </w:pPr>
    </w:p>
    <w:p w14:paraId="3B64A68C" w14:textId="77777777" w:rsidR="00CE36BD" w:rsidRDefault="00CE36BD">
      <w:pPr>
        <w:spacing w:line="360" w:lineRule="auto"/>
        <w:rPr>
          <w:rFonts w:ascii="Times New Roman" w:hAnsi="Times New Roman" w:cs="Times New Roman"/>
          <w:bCs/>
          <w:sz w:val="24"/>
          <w:szCs w:val="24"/>
        </w:rPr>
      </w:pPr>
    </w:p>
    <w:p w14:paraId="1F56209A" w14:textId="77777777" w:rsidR="00CE36BD" w:rsidRDefault="00CE36BD">
      <w:pPr>
        <w:spacing w:line="360" w:lineRule="auto"/>
        <w:rPr>
          <w:rFonts w:ascii="Times New Roman" w:hAnsi="Times New Roman" w:cs="Times New Roman"/>
          <w:bCs/>
          <w:sz w:val="24"/>
          <w:szCs w:val="24"/>
        </w:rPr>
      </w:pPr>
    </w:p>
    <w:p w14:paraId="462D8252" w14:textId="77777777" w:rsidR="00CE36BD" w:rsidRDefault="00CE36BD">
      <w:pPr>
        <w:spacing w:line="360" w:lineRule="auto"/>
        <w:rPr>
          <w:rFonts w:ascii="Times New Roman" w:hAnsi="Times New Roman" w:cs="Times New Roman"/>
          <w:bCs/>
          <w:sz w:val="24"/>
          <w:szCs w:val="24"/>
        </w:rPr>
      </w:pPr>
    </w:p>
    <w:p w14:paraId="5AED5D7A" w14:textId="77777777" w:rsidR="00CE36BD" w:rsidRDefault="00000000">
      <w:pPr>
        <w:pStyle w:val="Nadpis2"/>
        <w:ind w:left="0" w:firstLine="0"/>
      </w:pPr>
      <w:r>
        <w:t>Rozsah poskytování sociální služby</w:t>
      </w:r>
    </w:p>
    <w:p w14:paraId="5F27FB6B" w14:textId="77777777" w:rsidR="00CE36BD" w:rsidRDefault="00000000">
      <w:pPr>
        <w:numPr>
          <w:ilvl w:val="0"/>
          <w:numId w:val="3"/>
        </w:numPr>
        <w:spacing w:before="120" w:line="360" w:lineRule="auto"/>
        <w:ind w:left="1077"/>
        <w:jc w:val="both"/>
        <w:outlineLvl w:val="2"/>
        <w:rPr>
          <w:rFonts w:ascii="Times New Roman" w:hAnsi="Times New Roman" w:cs="Times New Roman"/>
          <w:bCs/>
          <w:sz w:val="24"/>
          <w:szCs w:val="24"/>
        </w:rPr>
      </w:pPr>
      <w:r>
        <w:rPr>
          <w:rFonts w:ascii="Times New Roman" w:hAnsi="Times New Roman" w:cs="Times New Roman"/>
          <w:bCs/>
          <w:sz w:val="24"/>
          <w:szCs w:val="24"/>
        </w:rPr>
        <w:t>Poskytovatel poskytuje Klientovi s</w:t>
      </w:r>
      <w:r>
        <w:rPr>
          <w:rFonts w:ascii="Times New Roman" w:hAnsi="Times New Roman" w:cs="Calibri"/>
          <w:bCs/>
          <w:sz w:val="24"/>
          <w:szCs w:val="24"/>
        </w:rPr>
        <w:t>lužby dle</w:t>
      </w:r>
      <w:r>
        <w:rPr>
          <w:rFonts w:ascii="Times New Roman" w:hAnsi="Times New Roman" w:cs="Times New Roman"/>
          <w:bCs/>
          <w:sz w:val="24"/>
          <w:szCs w:val="24"/>
        </w:rPr>
        <w:t xml:space="preserve"> § 40 </w:t>
      </w:r>
      <w:r>
        <w:rPr>
          <w:rFonts w:ascii="Times New Roman" w:hAnsi="Times New Roman" w:cs="Calibri"/>
          <w:bCs/>
          <w:sz w:val="24"/>
          <w:szCs w:val="24"/>
        </w:rPr>
        <w:t>z</w:t>
      </w:r>
      <w:r>
        <w:rPr>
          <w:rFonts w:ascii="Times New Roman" w:hAnsi="Times New Roman" w:cs="Times New Roman"/>
          <w:bCs/>
          <w:sz w:val="24"/>
          <w:szCs w:val="24"/>
        </w:rPr>
        <w:t xml:space="preserve">ákona </w:t>
      </w:r>
      <w:r>
        <w:rPr>
          <w:rFonts w:ascii="Times New Roman" w:hAnsi="Times New Roman" w:cs="Calibri"/>
          <w:bCs/>
          <w:sz w:val="24"/>
          <w:szCs w:val="24"/>
        </w:rPr>
        <w:t>č. 108/2006 Sb., (Zákon o sociálních službách) v souladu s jeho prováděcí vyhláškou č. 505/2006 Sb., v platném znění.</w:t>
      </w:r>
    </w:p>
    <w:p w14:paraId="1BE51981" w14:textId="77777777" w:rsidR="00CE36BD" w:rsidRDefault="00000000">
      <w:pPr>
        <w:pStyle w:val="Nadpis3"/>
        <w:rPr>
          <w:bCs/>
        </w:rPr>
      </w:pPr>
      <w:r>
        <w:rPr>
          <w:bCs/>
        </w:rPr>
        <w:t xml:space="preserve">Rozsah, způsob a frekvence poskytovaných služeb je zaznamenán v individuálním plánu, který je průběžně aktualizován. Časový rozsah (případně množství) jednotlivých druhů úkonů se přizpůsobuje aktuálním potřebám Klienta a provozním možnostem Poskytovatele. </w:t>
      </w:r>
    </w:p>
    <w:p w14:paraId="3F103757" w14:textId="77777777" w:rsidR="00CE36BD" w:rsidRDefault="00000000">
      <w:pPr>
        <w:pStyle w:val="Nadpis3"/>
        <w:rPr>
          <w:bCs/>
        </w:rPr>
      </w:pPr>
      <w:r>
        <w:rPr>
          <w:bCs/>
        </w:rPr>
        <w:t>Poskytovatel poskytuje dohodnuté úkony s ohledem na kapacitní, technické a personální možnosti a objektivní příčiny (povětrnostní podmínky, dopravní kalamita, změna provozu z důvodu nemoci apod.)</w:t>
      </w:r>
    </w:p>
    <w:p w14:paraId="6C27D766" w14:textId="77777777" w:rsidR="00CE36BD" w:rsidRDefault="00CE36BD">
      <w:pPr>
        <w:rPr>
          <w:bCs/>
        </w:rPr>
      </w:pPr>
    </w:p>
    <w:p w14:paraId="4F7F593E" w14:textId="77777777" w:rsidR="00CE36BD" w:rsidRDefault="00CE36BD">
      <w:pPr>
        <w:rPr>
          <w:bCs/>
        </w:rPr>
      </w:pPr>
    </w:p>
    <w:p w14:paraId="638F7CA8" w14:textId="77777777" w:rsidR="00CE36BD" w:rsidRDefault="00000000">
      <w:pPr>
        <w:pStyle w:val="Nadpis2"/>
        <w:ind w:left="0" w:firstLine="0"/>
      </w:pPr>
      <w:r>
        <w:t>Místo a čas poskytování sociální služby</w:t>
      </w:r>
    </w:p>
    <w:p w14:paraId="12AE30C5" w14:textId="77777777" w:rsidR="00CE36BD" w:rsidRDefault="00000000">
      <w:pPr>
        <w:pStyle w:val="Nadpis3"/>
        <w:numPr>
          <w:ilvl w:val="0"/>
          <w:numId w:val="4"/>
        </w:numPr>
        <w:rPr>
          <w:bCs/>
        </w:rPr>
      </w:pPr>
      <w:r>
        <w:rPr>
          <w:bCs/>
        </w:rPr>
        <w:t>Služba sjednaná v čl. I. Smlouvy se poskytuje v místě bydliště Klienta služby</w:t>
      </w:r>
      <w:r>
        <w:rPr>
          <w:bCs/>
        </w:rPr>
        <w:br/>
        <w:t>(terénní forma) či v Domově seniorů Jenštejn (ambulantní forma), nebo obě možnosti současně.</w:t>
      </w:r>
    </w:p>
    <w:p w14:paraId="3F91B315" w14:textId="77777777" w:rsidR="00CE36BD" w:rsidRDefault="00000000">
      <w:pPr>
        <w:pStyle w:val="Nadpis3"/>
        <w:rPr>
          <w:bCs/>
        </w:rPr>
      </w:pPr>
      <w:r>
        <w:rPr>
          <w:bCs/>
        </w:rPr>
        <w:t>Služba sjednaná v čl. I. Smlouvy se poskytuje zpravidla každý den od 07:00 hodin do 19:00 hodin. Konkrétní časy jsou pak sjednávány individuálně dle potřeb Klienta a kapacitních možností Poskytovatele.</w:t>
      </w:r>
    </w:p>
    <w:p w14:paraId="53900B56" w14:textId="77777777" w:rsidR="00CE36BD" w:rsidRDefault="00CE36BD">
      <w:pPr>
        <w:rPr>
          <w:bCs/>
        </w:rPr>
      </w:pPr>
    </w:p>
    <w:p w14:paraId="580FD2DC" w14:textId="77777777" w:rsidR="00CE36BD" w:rsidRDefault="00CE36BD">
      <w:pPr>
        <w:rPr>
          <w:bCs/>
        </w:rPr>
      </w:pPr>
    </w:p>
    <w:p w14:paraId="72191BFC" w14:textId="77777777" w:rsidR="00CE36BD" w:rsidRDefault="00000000">
      <w:pPr>
        <w:pStyle w:val="Nadpis2"/>
        <w:ind w:left="0" w:firstLine="0"/>
      </w:pPr>
      <w:r>
        <w:t>Výše úhrady a způsob jejího placení</w:t>
      </w:r>
    </w:p>
    <w:p w14:paraId="48537920" w14:textId="77777777" w:rsidR="00CE36BD" w:rsidRDefault="00000000">
      <w:pPr>
        <w:pStyle w:val="Nadpis3"/>
        <w:numPr>
          <w:ilvl w:val="0"/>
          <w:numId w:val="5"/>
        </w:numPr>
        <w:rPr>
          <w:bCs/>
        </w:rPr>
      </w:pPr>
      <w:r>
        <w:rPr>
          <w:bCs/>
        </w:rPr>
        <w:t>Výše úhrady za poskytované sociální služby je uvedena v příloze číslo 1 této smlouvy.</w:t>
      </w:r>
    </w:p>
    <w:p w14:paraId="455A8DBA" w14:textId="77777777" w:rsidR="00CE36BD" w:rsidRDefault="00000000">
      <w:pPr>
        <w:pStyle w:val="Nadpis3"/>
        <w:rPr>
          <w:bCs/>
        </w:rPr>
      </w:pPr>
      <w:r>
        <w:rPr>
          <w:bCs/>
        </w:rPr>
        <w:t xml:space="preserve">V průběhu měsíce se vedou záznamy o poskytovaných službách. </w:t>
      </w:r>
    </w:p>
    <w:p w14:paraId="3DFBEEE3" w14:textId="77777777" w:rsidR="00CE36BD" w:rsidRDefault="00000000">
      <w:pPr>
        <w:pStyle w:val="Nadpis3"/>
        <w:rPr>
          <w:bCs/>
        </w:rPr>
      </w:pPr>
      <w:r>
        <w:rPr>
          <w:bCs/>
        </w:rPr>
        <w:t xml:space="preserve">Na základě poskytnutých služeb je vystaveno vyúčtování obsahující přehled o odebraných službách za kalendářní měsíc a jejich ceně.  </w:t>
      </w:r>
    </w:p>
    <w:p w14:paraId="05085DE6" w14:textId="77777777" w:rsidR="00CE36BD" w:rsidRDefault="00000000">
      <w:pPr>
        <w:pStyle w:val="Nadpis3"/>
        <w:rPr>
          <w:bCs/>
        </w:rPr>
      </w:pPr>
      <w:r>
        <w:rPr>
          <w:bCs/>
        </w:rPr>
        <w:t xml:space="preserve">Vyúčtování platby (výpočet výše úhrady podle rozsahu skutečně poskytnuté služby) proběhne nejpozději do 15. dne následujícího kalendářního měsíce. Poskytovatel současně vystaví doklad obsahující platební údaje. Klient je povinen provést platbu dle předloženého vyúčtování nejpozději do konce měsíce následujícího po měsíci, v kterém byly služby poskytnuty. V případě platby v hotovosti obdrží Klient o platbě doklad. </w:t>
      </w:r>
    </w:p>
    <w:p w14:paraId="2D06F575" w14:textId="77777777" w:rsidR="00CE36BD" w:rsidRDefault="00000000">
      <w:pPr>
        <w:pStyle w:val="Nadpis3"/>
        <w:rPr>
          <w:bCs/>
        </w:rPr>
      </w:pPr>
      <w:r>
        <w:rPr>
          <w:bCs/>
        </w:rPr>
        <w:t xml:space="preserve">Klient se zavazuje a je povinen platit úhradu podle odst. (4) tohoto článku  </w:t>
      </w:r>
    </w:p>
    <w:p w14:paraId="7F03461E" w14:textId="77777777" w:rsidR="00CE36BD" w:rsidRDefault="00000000">
      <w:pPr>
        <w:pStyle w:val="Nadpis4"/>
        <w:spacing w:after="160"/>
        <w:rPr>
          <w:bCs/>
          <w:lang w:eastAsia="en-US"/>
        </w:rPr>
      </w:pPr>
      <w:r>
        <w:rPr>
          <w:bCs/>
          <w:lang w:eastAsia="en-US"/>
        </w:rPr>
        <w:lastRenderedPageBreak/>
        <w:t>v hotovosti v místě svého bydliště</w:t>
      </w:r>
    </w:p>
    <w:p w14:paraId="3BA5EB14" w14:textId="77777777" w:rsidR="00CE36BD" w:rsidRDefault="00000000">
      <w:pPr>
        <w:pStyle w:val="Nadpis4"/>
        <w:spacing w:after="160"/>
        <w:rPr>
          <w:bCs/>
          <w:lang w:eastAsia="en-US"/>
        </w:rPr>
      </w:pPr>
      <w:r>
        <w:rPr>
          <w:bCs/>
          <w:lang w:eastAsia="en-US"/>
        </w:rPr>
        <w:t xml:space="preserve">v hotovosti v pokladně Poskytovatele  </w:t>
      </w:r>
    </w:p>
    <w:p w14:paraId="6738339B" w14:textId="77777777" w:rsidR="00CE36BD" w:rsidRDefault="00000000">
      <w:pPr>
        <w:pStyle w:val="Nadpis4"/>
        <w:spacing w:after="160"/>
        <w:rPr>
          <w:bCs/>
          <w:lang w:eastAsia="en-US"/>
        </w:rPr>
      </w:pPr>
      <w:r>
        <w:rPr>
          <w:bCs/>
          <w:lang w:eastAsia="en-US"/>
        </w:rPr>
        <w:t>převodem na účet Poskytovatele – č.ú.: 35–405 981 0217 / 0100</w:t>
      </w:r>
    </w:p>
    <w:p w14:paraId="7220BD3D" w14:textId="77777777" w:rsidR="00CE36BD" w:rsidRDefault="0000000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variabilní symbol: 6 čísel RČ</w:t>
      </w:r>
    </w:p>
    <w:p w14:paraId="6D08B7A1" w14:textId="77777777" w:rsidR="00CE36BD" w:rsidRDefault="00CE36BD">
      <w:pPr>
        <w:spacing w:line="360" w:lineRule="auto"/>
        <w:jc w:val="both"/>
        <w:rPr>
          <w:rFonts w:ascii="Times New Roman" w:hAnsi="Times New Roman" w:cs="Times New Roman"/>
          <w:bCs/>
          <w:sz w:val="24"/>
          <w:szCs w:val="24"/>
        </w:rPr>
      </w:pPr>
    </w:p>
    <w:p w14:paraId="0279A00A" w14:textId="77777777" w:rsidR="00CE36BD" w:rsidRDefault="00000000">
      <w:pPr>
        <w:pStyle w:val="Nadpis2"/>
        <w:ind w:left="0" w:firstLine="0"/>
      </w:pPr>
      <w:r>
        <w:t>Vnitřní pravidla pro poskytování pečovatelské služby</w:t>
      </w:r>
    </w:p>
    <w:p w14:paraId="0EFD5F8D" w14:textId="77777777" w:rsidR="00CE36BD" w:rsidRDefault="00000000">
      <w:pPr>
        <w:pStyle w:val="Nadpis3"/>
        <w:numPr>
          <w:ilvl w:val="0"/>
          <w:numId w:val="7"/>
        </w:numPr>
        <w:rPr>
          <w:bCs/>
        </w:rPr>
      </w:pPr>
      <w:r>
        <w:rPr>
          <w:bCs/>
        </w:rPr>
        <w:t xml:space="preserve">Bližší informace o poskytování služeb popisují Vnitřní pravidla poskytování služeb. Klient je povinen se s Vnitřními pravidly seznámit a v průběhu poskytování služeb se Vnitřními pravidly řídit. </w:t>
      </w:r>
    </w:p>
    <w:p w14:paraId="29475561" w14:textId="77777777" w:rsidR="00CE36BD" w:rsidRDefault="00000000">
      <w:pPr>
        <w:pStyle w:val="Nadpis3"/>
        <w:rPr>
          <w:bCs/>
        </w:rPr>
      </w:pPr>
      <w:r>
        <w:rPr>
          <w:bCs/>
        </w:rPr>
        <w:t xml:space="preserve">Vnitřní pravidla Poskytovatele jsou zveřejněna na webu: www.psjenstejn.cz. V tištěné formě obdrží Klient Vnitřní pravidla s dostatečným předstihem k seznámení, nejpozději však v den podpisu této smlouvy. </w:t>
      </w:r>
    </w:p>
    <w:p w14:paraId="30A33AB6" w14:textId="77777777" w:rsidR="00CE36BD" w:rsidRDefault="00CE36BD">
      <w:pPr>
        <w:rPr>
          <w:bCs/>
        </w:rPr>
      </w:pPr>
    </w:p>
    <w:p w14:paraId="0110351B" w14:textId="77777777" w:rsidR="00CE36BD" w:rsidRDefault="00000000">
      <w:pPr>
        <w:pStyle w:val="Nadpis2"/>
        <w:ind w:left="0" w:firstLine="0"/>
      </w:pPr>
      <w:r>
        <w:t>Výpovědní důvody a výpovědní lhůty</w:t>
      </w:r>
    </w:p>
    <w:p w14:paraId="65D2103E" w14:textId="77777777" w:rsidR="00CE36BD" w:rsidRDefault="00000000">
      <w:pPr>
        <w:pStyle w:val="Nadpis3"/>
        <w:numPr>
          <w:ilvl w:val="0"/>
          <w:numId w:val="8"/>
        </w:numPr>
        <w:rPr>
          <w:bCs/>
        </w:rPr>
      </w:pPr>
      <w:r>
        <w:rPr>
          <w:bCs/>
        </w:rPr>
        <w:t>Klient může Smlouvu vypovědět kdykoli, bez udání důvodů.</w:t>
      </w:r>
    </w:p>
    <w:p w14:paraId="46C606A5" w14:textId="77777777" w:rsidR="00CE36BD" w:rsidRDefault="00000000">
      <w:pPr>
        <w:pStyle w:val="Nadpis3"/>
        <w:rPr>
          <w:bCs/>
        </w:rPr>
      </w:pPr>
      <w:r>
        <w:rPr>
          <w:bCs/>
        </w:rPr>
        <w:t>Poskytovatel může smlouvu vypovědět z těchto důvodů:</w:t>
      </w:r>
    </w:p>
    <w:p w14:paraId="5406FFB0" w14:textId="619752A7" w:rsidR="000E0A65" w:rsidRDefault="00000000" w:rsidP="000E0A65">
      <w:pPr>
        <w:pStyle w:val="Nadpis4"/>
        <w:spacing w:after="160"/>
        <w:jc w:val="both"/>
        <w:rPr>
          <w:bCs/>
          <w:lang w:eastAsia="en-US"/>
        </w:rPr>
      </w:pPr>
      <w:r>
        <w:rPr>
          <w:bCs/>
          <w:lang w:eastAsia="en-US"/>
        </w:rPr>
        <w:t>V případě odstěhování Klienta z místa trvalého bydliště do nového působiště, které je mimo dosah působnosti Poskytovatele a sám předem neukončí poskytování sjednaných služeb.</w:t>
      </w:r>
    </w:p>
    <w:p w14:paraId="1E08BD0E" w14:textId="788F0C1D" w:rsidR="000E0A65" w:rsidRPr="000E0A65" w:rsidRDefault="000E0A65" w:rsidP="000E0A65">
      <w:pPr>
        <w:pStyle w:val="Nadpis4"/>
        <w:jc w:val="both"/>
        <w:rPr>
          <w:lang w:eastAsia="en-US"/>
        </w:rPr>
      </w:pPr>
      <w:r>
        <w:rPr>
          <w:lang w:eastAsia="en-US"/>
        </w:rPr>
        <w:t>V případě, že je klient umístěn v pobytové sociální službě a sám předem neukončí poskytování sjednaných služeb.</w:t>
      </w:r>
    </w:p>
    <w:p w14:paraId="4BE1CC6E" w14:textId="77777777" w:rsidR="00CE36BD" w:rsidRDefault="00000000" w:rsidP="000E0A65">
      <w:pPr>
        <w:pStyle w:val="Nadpis4"/>
        <w:spacing w:after="160"/>
        <w:jc w:val="both"/>
        <w:rPr>
          <w:bCs/>
          <w:lang w:eastAsia="en-US"/>
        </w:rPr>
      </w:pPr>
      <w:r>
        <w:rPr>
          <w:bCs/>
          <w:lang w:eastAsia="en-US"/>
        </w:rPr>
        <w:t>Jestliže Klient hrubě porušuje své povinnosti vyplývající ze smlouvy. Za hrubé porušení smlouvy se považuje zejména nezaplacení úhrady za poskytnutí sociální služby za dobu delší než 30 dnů, případně opakovaná nedodržení splatnosti úhrady.</w:t>
      </w:r>
    </w:p>
    <w:p w14:paraId="306C642A" w14:textId="77777777" w:rsidR="00CE36BD" w:rsidRDefault="00000000" w:rsidP="000E0A65">
      <w:pPr>
        <w:pStyle w:val="Nadpis4"/>
        <w:spacing w:after="160"/>
        <w:jc w:val="both"/>
        <w:rPr>
          <w:bCs/>
          <w:lang w:eastAsia="en-US"/>
        </w:rPr>
      </w:pPr>
      <w:r>
        <w:rPr>
          <w:bCs/>
          <w:lang w:eastAsia="en-US"/>
        </w:rPr>
        <w:t>Jestliže Klient i po opětovném napomenutí hrubě poruší povinnosti, které vyplývají z vnitřních pravidel Poskytovatele pro poskytování pečovatelské služby.</w:t>
      </w:r>
    </w:p>
    <w:p w14:paraId="494B6EAE" w14:textId="77777777" w:rsidR="00CE36BD" w:rsidRDefault="00000000" w:rsidP="000E0A65">
      <w:pPr>
        <w:pStyle w:val="Nadpis4"/>
        <w:spacing w:after="160"/>
        <w:jc w:val="both"/>
        <w:rPr>
          <w:bCs/>
          <w:lang w:eastAsia="en-US"/>
        </w:rPr>
      </w:pPr>
      <w:r>
        <w:rPr>
          <w:bCs/>
          <w:lang w:eastAsia="en-US"/>
        </w:rPr>
        <w:t>Jestliže se Klient chová k pracovníkovi pečovatelské služby způsobem, jehož záměr nebo důsledek vede ke snížení jeho důstojnosti.</w:t>
      </w:r>
    </w:p>
    <w:p w14:paraId="6DE1F7BA" w14:textId="77777777" w:rsidR="00CE36BD" w:rsidRDefault="00000000" w:rsidP="000E0A65">
      <w:pPr>
        <w:pStyle w:val="Nadpis4"/>
        <w:spacing w:after="160"/>
        <w:jc w:val="both"/>
        <w:rPr>
          <w:bCs/>
          <w:lang w:eastAsia="en-US"/>
        </w:rPr>
      </w:pPr>
      <w:r>
        <w:rPr>
          <w:bCs/>
          <w:lang w:eastAsia="en-US"/>
        </w:rPr>
        <w:t>Jestliže zdravotní stav Klienta ohrožuje pracovníka pečovatelské služby.</w:t>
      </w:r>
    </w:p>
    <w:p w14:paraId="10E997B4" w14:textId="77777777" w:rsidR="00CE36BD" w:rsidRDefault="00000000" w:rsidP="000E0A65">
      <w:pPr>
        <w:pStyle w:val="Nadpis4"/>
        <w:spacing w:after="160"/>
        <w:jc w:val="both"/>
        <w:rPr>
          <w:bCs/>
          <w:lang w:eastAsia="en-US"/>
        </w:rPr>
      </w:pPr>
      <w:r>
        <w:rPr>
          <w:bCs/>
          <w:lang w:eastAsia="en-US"/>
        </w:rPr>
        <w:t>Jestliže Klient nevyužil poskytnutí žádného z úkonů po dobu delší než 12 měsíců.</w:t>
      </w:r>
    </w:p>
    <w:p w14:paraId="3A98D515" w14:textId="275D47BF" w:rsidR="000E0A65" w:rsidRPr="000E0A65" w:rsidRDefault="000E0A65" w:rsidP="000E0A65">
      <w:pPr>
        <w:pStyle w:val="Nadpis4"/>
        <w:jc w:val="both"/>
        <w:rPr>
          <w:lang w:eastAsia="en-US"/>
        </w:rPr>
      </w:pPr>
      <w:r>
        <w:rPr>
          <w:lang w:eastAsia="en-US"/>
        </w:rPr>
        <w:t>Pokud Klient nesouhlasí se změnou Ceníku pečovatelských úkonů, se kterými byl Poskytovatelem seznámen s předstihem před nabytím jeho účinnosti. Oznámení o změně cen za služby se provádí nejpozději v kalendářním měsíci, který předchází měsíci počátku účinnosti nových cen.</w:t>
      </w:r>
    </w:p>
    <w:p w14:paraId="32546578" w14:textId="77777777" w:rsidR="00CE36BD" w:rsidRDefault="00CE36BD">
      <w:pPr>
        <w:spacing w:line="360" w:lineRule="auto"/>
        <w:jc w:val="both"/>
        <w:rPr>
          <w:rFonts w:ascii="Times New Roman" w:hAnsi="Times New Roman" w:cs="Times New Roman"/>
          <w:bCs/>
          <w:sz w:val="24"/>
          <w:szCs w:val="24"/>
        </w:rPr>
      </w:pPr>
    </w:p>
    <w:p w14:paraId="6AC576D8" w14:textId="77777777" w:rsidR="00CE36BD" w:rsidRDefault="00000000">
      <w:pPr>
        <w:pStyle w:val="Nadpis2"/>
        <w:ind w:left="0" w:firstLine="0"/>
      </w:pPr>
      <w:r>
        <w:lastRenderedPageBreak/>
        <w:t>Doba platnosti smlouvy</w:t>
      </w:r>
    </w:p>
    <w:p w14:paraId="346D3CE6" w14:textId="77777777" w:rsidR="00CE36BD" w:rsidRDefault="00000000">
      <w:pPr>
        <w:pStyle w:val="Nadpis3"/>
        <w:numPr>
          <w:ilvl w:val="0"/>
          <w:numId w:val="9"/>
        </w:numPr>
        <w:rPr>
          <w:bCs/>
        </w:rPr>
      </w:pPr>
      <w:r>
        <w:rPr>
          <w:bCs/>
        </w:rPr>
        <w:t xml:space="preserve">Smlouva nabývá platnosti okamžikem jejího podpisu oběma smluvními stranami. </w:t>
      </w:r>
    </w:p>
    <w:p w14:paraId="5DC603EB" w14:textId="77777777" w:rsidR="00CE36BD" w:rsidRDefault="00000000">
      <w:pPr>
        <w:pStyle w:val="Nadpis3"/>
        <w:rPr>
          <w:bCs/>
        </w:rPr>
      </w:pPr>
      <w:r>
        <w:rPr>
          <w:bCs/>
        </w:rPr>
        <w:t xml:space="preserve">Tato smlouva je uzavřena na dobu určitou, a to na dobu 3 kalendářní měsíce ode dne účinnosti této smlouvy. Smluvní strany dále sjednávají automatické prodloužení doby účinnosti smlouvy vždy o 3 následující kalendářní měsíce, a to v případě, pokud kterákoliv ze smluvních stran nejpozději 1 měsíc před ukončením doby účinnosti této smlouvy nesdělí druhé smluvní straně, že s automatickým prodloužením doby účinnosti této smlouvy nesouhlasí. Smluvní strany nejsou povinny sdělit důvod nesouhlasu s automatickým prodloužením doby účinnosti této smlouvy. </w:t>
      </w:r>
    </w:p>
    <w:p w14:paraId="7684F27D" w14:textId="795D8F3B" w:rsidR="00384531" w:rsidRPr="00384531" w:rsidRDefault="00000000" w:rsidP="00384531">
      <w:pPr>
        <w:pStyle w:val="Nadpis3"/>
        <w:rPr>
          <w:bCs/>
        </w:rPr>
      </w:pPr>
      <w:r>
        <w:rPr>
          <w:bCs/>
        </w:rPr>
        <w:t>Klient nemůže práva z této Smlouvy postoupit na jiného.</w:t>
      </w:r>
    </w:p>
    <w:p w14:paraId="2BEB8F5A" w14:textId="7D65B4BA" w:rsidR="00CE36BD" w:rsidRDefault="00000000">
      <w:pPr>
        <w:pStyle w:val="Nadpis3"/>
        <w:rPr>
          <w:bCs/>
        </w:rPr>
      </w:pPr>
      <w:r>
        <w:rPr>
          <w:bCs/>
        </w:rPr>
        <w:t>Počátek účinnosti Smlouvy:</w:t>
      </w:r>
      <w:r>
        <w:rPr>
          <w:bCs/>
          <w:lang w:eastAsia="cs-CZ" w:bidi="cs-CZ"/>
        </w:rPr>
        <w:t xml:space="preserve">   </w:t>
      </w:r>
      <w:r>
        <w:rPr>
          <w:b/>
          <w:bCs/>
          <w:sz w:val="28"/>
          <w:szCs w:val="28"/>
          <w:lang w:eastAsia="cs-CZ" w:bidi="cs-CZ"/>
        </w:rPr>
        <w:t xml:space="preserve">   </w:t>
      </w:r>
    </w:p>
    <w:p w14:paraId="06E731A3" w14:textId="77777777" w:rsidR="00CE36BD" w:rsidRDefault="00CE36BD">
      <w:pPr>
        <w:spacing w:line="360" w:lineRule="auto"/>
        <w:rPr>
          <w:rFonts w:ascii="Times New Roman" w:hAnsi="Times New Roman" w:cs="Times New Roman"/>
          <w:bCs/>
          <w:sz w:val="24"/>
          <w:szCs w:val="24"/>
        </w:rPr>
      </w:pPr>
    </w:p>
    <w:p w14:paraId="6E67E7B2" w14:textId="77777777" w:rsidR="00CE36BD" w:rsidRDefault="00CE36BD">
      <w:pPr>
        <w:spacing w:line="360" w:lineRule="auto"/>
        <w:rPr>
          <w:rFonts w:ascii="Times New Roman" w:hAnsi="Times New Roman" w:cs="Times New Roman"/>
          <w:bCs/>
          <w:sz w:val="24"/>
          <w:szCs w:val="24"/>
        </w:rPr>
      </w:pPr>
    </w:p>
    <w:p w14:paraId="23307B52" w14:textId="77777777" w:rsidR="00CE36BD" w:rsidRDefault="00000000">
      <w:pPr>
        <w:pStyle w:val="Nadpis2"/>
        <w:ind w:left="0" w:firstLine="0"/>
      </w:pPr>
      <w:r>
        <w:t>Ostatní ujednání</w:t>
      </w:r>
    </w:p>
    <w:p w14:paraId="15F7C2BF" w14:textId="77777777" w:rsidR="00CE36BD" w:rsidRDefault="00000000">
      <w:pPr>
        <w:pStyle w:val="Nadpis3"/>
        <w:numPr>
          <w:ilvl w:val="0"/>
          <w:numId w:val="10"/>
        </w:numPr>
        <w:rPr>
          <w:bCs/>
        </w:rPr>
      </w:pPr>
      <w:r>
        <w:rPr>
          <w:bCs/>
        </w:rPr>
        <w:t>Smlouva je vyhotovena ve dvou exemplářích s platností originálu. Každá smluvní strana obdrží jedno vyhotovení.</w:t>
      </w:r>
    </w:p>
    <w:p w14:paraId="5CF6D793" w14:textId="77777777" w:rsidR="00CE36BD" w:rsidRDefault="00000000">
      <w:pPr>
        <w:pStyle w:val="Nadpis3"/>
        <w:rPr>
          <w:bCs/>
        </w:rPr>
      </w:pPr>
      <w:r>
        <w:rPr>
          <w:bCs/>
        </w:rPr>
        <w:t>Smlouva může být měněna nebo zrušena pouze písemně po dohodě obou stran.</w:t>
      </w:r>
    </w:p>
    <w:p w14:paraId="04B91978" w14:textId="77777777" w:rsidR="00CE36BD" w:rsidRDefault="00000000">
      <w:pPr>
        <w:pStyle w:val="Nadpis3"/>
        <w:rPr>
          <w:bCs/>
        </w:rPr>
      </w:pPr>
      <w:r>
        <w:rPr>
          <w:bCs/>
        </w:rPr>
        <w:t>Smluvní strany prohlašují, že Smlouva vyjadřuje jejich pravou a svobodnou vůli a že Smlouvu neuzavřely v tísni za nápadně nevýhodných podmínek.</w:t>
      </w:r>
    </w:p>
    <w:p w14:paraId="4C12B5C2" w14:textId="77777777" w:rsidR="00CE36BD" w:rsidRDefault="00000000">
      <w:pPr>
        <w:pStyle w:val="Nadpis3"/>
        <w:rPr>
          <w:bCs/>
        </w:rPr>
      </w:pPr>
      <w:r>
        <w:rPr>
          <w:bCs/>
        </w:rPr>
        <w:t>Smluvní strany prohlašují, že smlouvu přečetly, jejímu obsahu rozumí a s jejím obsahem úplně a bezvýhradně souhlasí, což stvrzují svými vlastnoručními podpisy.</w:t>
      </w:r>
    </w:p>
    <w:p w14:paraId="04D3B0EB" w14:textId="77777777" w:rsidR="00CE36BD" w:rsidRDefault="00CE36BD">
      <w:pPr>
        <w:spacing w:line="360" w:lineRule="auto"/>
        <w:rPr>
          <w:rFonts w:ascii="Times New Roman" w:hAnsi="Times New Roman" w:cs="Times New Roman"/>
          <w:bCs/>
          <w:sz w:val="24"/>
          <w:szCs w:val="24"/>
        </w:rPr>
      </w:pPr>
    </w:p>
    <w:p w14:paraId="4836C7E4" w14:textId="77777777" w:rsidR="00CE36BD" w:rsidRDefault="00CE36BD">
      <w:pPr>
        <w:spacing w:line="360" w:lineRule="auto"/>
        <w:rPr>
          <w:rFonts w:ascii="Times New Roman" w:hAnsi="Times New Roman" w:cs="Times New Roman"/>
          <w:bCs/>
          <w:sz w:val="24"/>
          <w:szCs w:val="24"/>
        </w:rPr>
      </w:pPr>
    </w:p>
    <w:p w14:paraId="789F4938" w14:textId="77777777" w:rsidR="00CE36BD" w:rsidRDefault="00CE36BD">
      <w:pPr>
        <w:spacing w:line="360" w:lineRule="auto"/>
        <w:rPr>
          <w:rFonts w:ascii="Times New Roman" w:hAnsi="Times New Roman" w:cs="Times New Roman"/>
          <w:bCs/>
          <w:sz w:val="24"/>
          <w:szCs w:val="24"/>
        </w:rPr>
      </w:pPr>
    </w:p>
    <w:p w14:paraId="11C8EFEB" w14:textId="77777777" w:rsidR="00CE36BD" w:rsidRDefault="00CE36BD">
      <w:pPr>
        <w:spacing w:line="360" w:lineRule="auto"/>
        <w:rPr>
          <w:rFonts w:ascii="Times New Roman" w:hAnsi="Times New Roman" w:cs="Times New Roman"/>
          <w:bCs/>
          <w:sz w:val="24"/>
          <w:szCs w:val="24"/>
        </w:rPr>
      </w:pPr>
    </w:p>
    <w:p w14:paraId="64A8C689" w14:textId="77777777"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                                          …………………………………                             </w:t>
      </w:r>
    </w:p>
    <w:p w14:paraId="39D57081" w14:textId="46B79630" w:rsidR="00CE36BD" w:rsidRDefault="0000000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lang w:bidi="cs-CZ"/>
        </w:rPr>
        <w:t xml:space="preserve">       </w:t>
      </w:r>
      <w:r w:rsidR="000E0A65">
        <w:rPr>
          <w:rFonts w:ascii="Times New Roman" w:hAnsi="Times New Roman" w:cs="Times New Roman"/>
          <w:bCs/>
          <w:sz w:val="24"/>
          <w:szCs w:val="24"/>
          <w:lang w:bidi="cs-CZ"/>
        </w:rPr>
        <w:t xml:space="preserve">    </w:t>
      </w:r>
      <w:r>
        <w:rPr>
          <w:rFonts w:ascii="Times New Roman" w:hAnsi="Times New Roman" w:cs="Times New Roman"/>
          <w:bCs/>
          <w:sz w:val="24"/>
          <w:szCs w:val="24"/>
          <w:lang w:bidi="cs-CZ"/>
        </w:rPr>
        <w:t xml:space="preserve">  </w:t>
      </w:r>
      <w:r>
        <w:rPr>
          <w:rFonts w:ascii="Times New Roman" w:hAnsi="Times New Roman" w:cs="Times New Roman"/>
          <w:bCs/>
          <w:sz w:val="24"/>
          <w:szCs w:val="24"/>
        </w:rPr>
        <w:t xml:space="preserve">     </w:t>
      </w:r>
      <w:r w:rsidR="000E0A65">
        <w:rPr>
          <w:rFonts w:ascii="Times New Roman" w:hAnsi="Times New Roman" w:cs="Times New Roman"/>
          <w:bCs/>
          <w:sz w:val="24"/>
          <w:szCs w:val="24"/>
        </w:rPr>
        <w:t xml:space="preserve">Klient                                                                                   </w:t>
      </w:r>
      <w:r>
        <w:rPr>
          <w:rFonts w:ascii="Times New Roman" w:hAnsi="Times New Roman" w:cs="Times New Roman"/>
          <w:bCs/>
          <w:sz w:val="24"/>
          <w:szCs w:val="24"/>
        </w:rPr>
        <w:t>Poskytovatel</w:t>
      </w:r>
    </w:p>
    <w:p w14:paraId="4C49CC92" w14:textId="77777777" w:rsidR="00CE36BD" w:rsidRDefault="00CE36BD">
      <w:pPr>
        <w:spacing w:line="360" w:lineRule="auto"/>
        <w:rPr>
          <w:rFonts w:ascii="Times New Roman" w:hAnsi="Times New Roman" w:cs="Times New Roman"/>
          <w:bCs/>
          <w:sz w:val="24"/>
          <w:szCs w:val="24"/>
        </w:rPr>
      </w:pPr>
    </w:p>
    <w:p w14:paraId="4639D05C" w14:textId="77777777" w:rsidR="00CE36BD" w:rsidRDefault="00CE36BD">
      <w:pPr>
        <w:spacing w:line="360" w:lineRule="auto"/>
        <w:rPr>
          <w:rFonts w:ascii="Times New Roman" w:hAnsi="Times New Roman" w:cs="Times New Roman"/>
          <w:bCs/>
          <w:sz w:val="24"/>
          <w:szCs w:val="24"/>
        </w:rPr>
      </w:pPr>
    </w:p>
    <w:p w14:paraId="32FB32AA" w14:textId="77777777" w:rsidR="00CE36BD" w:rsidRDefault="00CE36BD">
      <w:pPr>
        <w:spacing w:line="360" w:lineRule="auto"/>
        <w:rPr>
          <w:rFonts w:ascii="Times New Roman" w:hAnsi="Times New Roman" w:cs="Times New Roman"/>
          <w:bCs/>
          <w:sz w:val="24"/>
          <w:szCs w:val="24"/>
        </w:rPr>
      </w:pPr>
    </w:p>
    <w:p w14:paraId="69D3640B" w14:textId="77777777" w:rsidR="00CE36BD" w:rsidRDefault="00CE36BD">
      <w:pPr>
        <w:spacing w:line="360" w:lineRule="auto"/>
        <w:rPr>
          <w:rFonts w:ascii="Times New Roman" w:hAnsi="Times New Roman" w:cs="Times New Roman"/>
          <w:bCs/>
          <w:sz w:val="24"/>
          <w:szCs w:val="24"/>
        </w:rPr>
      </w:pPr>
    </w:p>
    <w:p w14:paraId="6DB1F45A" w14:textId="77777777" w:rsidR="00CE36BD" w:rsidRDefault="00CE36BD">
      <w:pPr>
        <w:spacing w:line="360" w:lineRule="auto"/>
        <w:rPr>
          <w:rFonts w:ascii="Times New Roman" w:hAnsi="Times New Roman" w:cs="Times New Roman"/>
          <w:bCs/>
          <w:sz w:val="24"/>
          <w:szCs w:val="24"/>
        </w:rPr>
      </w:pPr>
    </w:p>
    <w:p w14:paraId="3A5C15C9" w14:textId="61180E9C" w:rsidR="00E1674C" w:rsidRDefault="00E1674C">
      <w:pPr>
        <w:jc w:val="both"/>
        <w:rPr>
          <w:rFonts w:ascii="Times New Roman" w:hAnsi="Times New Roman" w:cs="Times New Roman"/>
          <w:bCs/>
          <w:sz w:val="24"/>
          <w:szCs w:val="24"/>
        </w:rPr>
      </w:pPr>
      <w:r>
        <w:rPr>
          <w:rFonts w:ascii="Times New Roman" w:hAnsi="Times New Roman" w:cs="Times New Roman"/>
          <w:bCs/>
          <w:sz w:val="24"/>
          <w:szCs w:val="24"/>
        </w:rPr>
        <w:t>Příloha č.1: Aktuální ceník</w:t>
      </w:r>
    </w:p>
    <w:sectPr w:rsidR="00E1674C">
      <w:footerReference w:type="default" r:id="rId7"/>
      <w:headerReference w:type="first" r:id="rId8"/>
      <w:footerReference w:type="first" r:id="rId9"/>
      <w:pgSz w:w="11906" w:h="16838"/>
      <w:pgMar w:top="720" w:right="720" w:bottom="720" w:left="720" w:header="51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FD9A" w14:textId="77777777" w:rsidR="00025968" w:rsidRDefault="00025968">
      <w:r>
        <w:separator/>
      </w:r>
    </w:p>
  </w:endnote>
  <w:endnote w:type="continuationSeparator" w:id="0">
    <w:p w14:paraId="0E276849" w14:textId="77777777" w:rsidR="00025968" w:rsidRDefault="0002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Estrangelo Edessa">
    <w:panose1 w:val="00000000000000000000"/>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2F1A" w14:textId="77777777" w:rsidR="00CE36BD" w:rsidRDefault="00000000">
    <w:pPr>
      <w:tabs>
        <w:tab w:val="center" w:pos="4536"/>
        <w:tab w:val="right" w:pos="9072"/>
      </w:tabs>
      <w:jc w:val="center"/>
      <w:rPr>
        <w:rFonts w:ascii="Times New Roman" w:hAnsi="Times New Roman" w:cs="Times New Roman"/>
        <w:sz w:val="20"/>
        <w:szCs w:val="20"/>
      </w:rPr>
    </w:pPr>
    <w:r>
      <w:rPr>
        <w:rFonts w:ascii="Times New Roman" w:hAnsi="Times New Roman" w:cs="Times New Roman"/>
        <w:sz w:val="20"/>
        <w:szCs w:val="20"/>
      </w:rPr>
      <w:t xml:space="preserve">Smlouva o poskytnutí pečovatelské služby č.0022/71229108/2025 Str.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(celkem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66F8B702" w14:textId="77777777" w:rsidR="00CE36BD" w:rsidRDefault="00CE36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F95B" w14:textId="77777777" w:rsidR="00CE36BD" w:rsidRDefault="00CE36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9B0A6" w14:textId="77777777" w:rsidR="00025968" w:rsidRDefault="00025968">
      <w:r>
        <w:separator/>
      </w:r>
    </w:p>
  </w:footnote>
  <w:footnote w:type="continuationSeparator" w:id="0">
    <w:p w14:paraId="54B284AC" w14:textId="77777777" w:rsidR="00025968" w:rsidRDefault="0002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FCFD" w14:textId="77777777" w:rsidR="00CE36BD" w:rsidRDefault="00000000">
    <w:pPr>
      <w:ind w:left="1701"/>
      <w:rPr>
        <w:rFonts w:ascii="Palatino Linotype" w:hAnsi="Palatino Linotype" w:cs="Estrangelo Edessa"/>
        <w:b/>
        <w:bCs/>
        <w:color w:val="595959"/>
        <w:sz w:val="24"/>
        <w:szCs w:val="24"/>
      </w:rPr>
    </w:pPr>
    <w:r>
      <w:rPr>
        <w:rFonts w:ascii="Times New Roman" w:hAnsi="Times New Roman" w:cs="Times New Roman"/>
        <w:noProof/>
        <w:color w:val="595959"/>
        <w:sz w:val="24"/>
        <w:szCs w:val="24"/>
      </w:rPr>
      <w:object w:dxaOrig="1440" w:dyaOrig="1440" w14:anchorId="31E95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 type="#_x0000_t75" style="position:absolute;left:0;text-align:left;margin-left:13.1pt;margin-top:2.2pt;width:45pt;height:27pt;z-index:10;mso-wrap-distance-left:9pt;mso-wrap-distance-top:0;mso-wrap-distance-right:9pt;mso-wrap-distance-bottom:0;mso-position-horizontal:absolute;mso-position-horizontal-relative:text;mso-position-vertical:absolute;mso-position-vertical-relative:text">
          <v:imagedata r:id="rId1" o:title=""/>
          <w10:wrap type="square"/>
        </v:shape>
        <o:OLEObject Type="Embed" ProgID="PBrush" ShapeID="_x0000_s1" DrawAspect="Content" ObjectID="_1821854000" r:id="rId2"/>
      </w:object>
    </w:r>
    <w:r>
      <w:rPr>
        <w:rFonts w:ascii="Palatino Linotype" w:hAnsi="Palatino Linotype" w:cs="Estrangelo Edessa"/>
        <w:b/>
        <w:bCs/>
        <w:color w:val="595959"/>
        <w:sz w:val="24"/>
        <w:szCs w:val="24"/>
      </w:rPr>
      <w:t>DOMOV SENIORŮ JENŠTEJN, poskytovatel sociálních služeb</w:t>
    </w:r>
  </w:p>
  <w:p w14:paraId="4AFB554B" w14:textId="77777777" w:rsidR="00CE36BD" w:rsidRDefault="00000000">
    <w:pPr>
      <w:tabs>
        <w:tab w:val="left" w:pos="1820"/>
        <w:tab w:val="center" w:pos="4536"/>
        <w:tab w:val="right" w:pos="9072"/>
      </w:tabs>
      <w:ind w:left="1701"/>
      <w:rPr>
        <w:rFonts w:ascii="Times New Roman" w:hAnsi="Times New Roman" w:cs="Times New Roman"/>
        <w:sz w:val="24"/>
        <w:szCs w:val="24"/>
      </w:rPr>
    </w:pPr>
    <w:r>
      <w:rPr>
        <w:rFonts w:ascii="Palatino Linotype" w:hAnsi="Palatino Linotype" w:cs="Estrangelo Edessa"/>
        <w:color w:val="595959"/>
        <w:sz w:val="16"/>
        <w:szCs w:val="16"/>
      </w:rPr>
      <w:t>Vinořská 78    250 73   Jenštejn     info@dsjenstejn.cz      tel.: +420 286 851 150    datová schránka: 8t4ki8n</w:t>
    </w:r>
  </w:p>
  <w:p w14:paraId="270400DB" w14:textId="77777777" w:rsidR="00CE36BD" w:rsidRDefault="00CE36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3834"/>
    <w:multiLevelType w:val="hybridMultilevel"/>
    <w:tmpl w:val="DE48087A"/>
    <w:lvl w:ilvl="0" w:tplc="04050001">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1" w15:restartNumberingAfterBreak="0">
    <w:nsid w:val="25BB40FE"/>
    <w:multiLevelType w:val="hybridMultilevel"/>
    <w:tmpl w:val="314C7F0E"/>
    <w:lvl w:ilvl="0" w:tplc="04050001">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2" w15:restartNumberingAfterBreak="0">
    <w:nsid w:val="38217A7C"/>
    <w:multiLevelType w:val="hybridMultilevel"/>
    <w:tmpl w:val="7F9A9A1A"/>
    <w:lvl w:ilvl="0" w:tplc="04050001">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3" w15:restartNumberingAfterBreak="0">
    <w:nsid w:val="38EA3928"/>
    <w:multiLevelType w:val="hybridMultilevel"/>
    <w:tmpl w:val="07A0F4C8"/>
    <w:lvl w:ilvl="0" w:tplc="122A35DE">
      <w:start w:val="1"/>
      <w:numFmt w:val="lowerLetter"/>
      <w:pStyle w:val="Nadpis3"/>
      <w:lvlText w:val="%1)"/>
      <w:lvlJc w:val="left"/>
      <w:pPr>
        <w:ind w:left="1080" w:hanging="720"/>
      </w:pPr>
      <w:rPr>
        <w:rFonts w:cs="Times New Roman"/>
        <w:rtl w:val="0"/>
        <w:cs w:val="0"/>
      </w:rPr>
    </w:lvl>
    <w:lvl w:ilvl="1" w:tplc="04050019">
      <w:start w:val="1"/>
      <w:numFmt w:val="lowerLetter"/>
      <w:lvlText w:val="%2."/>
      <w:lvlJc w:val="left"/>
      <w:pPr>
        <w:ind w:left="1440" w:hanging="360"/>
      </w:pPr>
      <w:rPr>
        <w:rFonts w:cs="Times New Roman"/>
        <w:rtl w:val="0"/>
        <w:cs w:val="0"/>
      </w:rPr>
    </w:lvl>
    <w:lvl w:ilvl="2" w:tplc="0405001B">
      <w:start w:val="1"/>
      <w:numFmt w:val="lowerRoman"/>
      <w:lvlText w:val="%3."/>
      <w:lvlJc w:val="right"/>
      <w:pPr>
        <w:ind w:left="2160" w:hanging="180"/>
      </w:pPr>
      <w:rPr>
        <w:rFonts w:cs="Times New Roman"/>
        <w:rtl w:val="0"/>
        <w:cs w:val="0"/>
      </w:rPr>
    </w:lvl>
    <w:lvl w:ilvl="3" w:tplc="0405000F">
      <w:start w:val="1"/>
      <w:numFmt w:val="decimal"/>
      <w:lvlText w:val="%4."/>
      <w:lvlJc w:val="left"/>
      <w:pPr>
        <w:ind w:left="2880" w:hanging="360"/>
      </w:pPr>
      <w:rPr>
        <w:rFonts w:cs="Times New Roman"/>
        <w:rtl w:val="0"/>
        <w:cs w:val="0"/>
      </w:rPr>
    </w:lvl>
    <w:lvl w:ilvl="4" w:tplc="04050019">
      <w:start w:val="1"/>
      <w:numFmt w:val="lowerLetter"/>
      <w:lvlText w:val="%5."/>
      <w:lvlJc w:val="left"/>
      <w:pPr>
        <w:ind w:left="3600" w:hanging="360"/>
      </w:pPr>
      <w:rPr>
        <w:rFonts w:cs="Times New Roman"/>
        <w:rtl w:val="0"/>
        <w:cs w:val="0"/>
      </w:rPr>
    </w:lvl>
    <w:lvl w:ilvl="5" w:tplc="0405001B">
      <w:start w:val="1"/>
      <w:numFmt w:val="lowerRoman"/>
      <w:lvlText w:val="%6."/>
      <w:lvlJc w:val="right"/>
      <w:pPr>
        <w:ind w:left="4320" w:hanging="180"/>
      </w:pPr>
      <w:rPr>
        <w:rFonts w:cs="Times New Roman"/>
        <w:rtl w:val="0"/>
        <w:cs w:val="0"/>
      </w:rPr>
    </w:lvl>
    <w:lvl w:ilvl="6" w:tplc="0405000F">
      <w:start w:val="1"/>
      <w:numFmt w:val="decimal"/>
      <w:lvlText w:val="%7."/>
      <w:lvlJc w:val="left"/>
      <w:pPr>
        <w:ind w:left="5040" w:hanging="360"/>
      </w:pPr>
      <w:rPr>
        <w:rFonts w:cs="Times New Roman"/>
        <w:rtl w:val="0"/>
        <w:cs w:val="0"/>
      </w:rPr>
    </w:lvl>
    <w:lvl w:ilvl="7" w:tplc="04050019">
      <w:start w:val="1"/>
      <w:numFmt w:val="lowerLetter"/>
      <w:lvlText w:val="%8."/>
      <w:lvlJc w:val="left"/>
      <w:pPr>
        <w:ind w:left="5760" w:hanging="360"/>
      </w:pPr>
      <w:rPr>
        <w:rFonts w:cs="Times New Roman"/>
        <w:rtl w:val="0"/>
        <w:cs w:val="0"/>
      </w:rPr>
    </w:lvl>
    <w:lvl w:ilvl="8" w:tplc="0405001B">
      <w:start w:val="1"/>
      <w:numFmt w:val="lowerRoman"/>
      <w:lvlText w:val="%9."/>
      <w:lvlJc w:val="right"/>
      <w:pPr>
        <w:ind w:left="6480" w:hanging="180"/>
      </w:pPr>
      <w:rPr>
        <w:rFonts w:cs="Times New Roman"/>
        <w:rtl w:val="0"/>
        <w:cs w:val="0"/>
      </w:rPr>
    </w:lvl>
  </w:abstractNum>
  <w:abstractNum w:abstractNumId="4" w15:restartNumberingAfterBreak="0">
    <w:nsid w:val="3B5162D1"/>
    <w:multiLevelType w:val="hybridMultilevel"/>
    <w:tmpl w:val="8372119E"/>
    <w:lvl w:ilvl="0" w:tplc="04050001">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5" w15:restartNumberingAfterBreak="0">
    <w:nsid w:val="612179B6"/>
    <w:multiLevelType w:val="hybridMultilevel"/>
    <w:tmpl w:val="9B3A7406"/>
    <w:lvl w:ilvl="0" w:tplc="698A2AE4">
      <w:start w:val="1"/>
      <w:numFmt w:val="bullet"/>
      <w:pStyle w:val="Nadpis4"/>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6" w15:restartNumberingAfterBreak="0">
    <w:nsid w:val="6A267274"/>
    <w:multiLevelType w:val="hybridMultilevel"/>
    <w:tmpl w:val="FE9C66AC"/>
    <w:lvl w:ilvl="0" w:tplc="04050001">
      <w:start w:val="1"/>
      <w:numFmt w:val="bullet"/>
      <w:lvlText w:val=""/>
      <w:lvlJc w:val="left"/>
      <w:pPr>
        <w:ind w:left="720" w:hanging="360"/>
      </w:pPr>
      <w:rPr>
        <w:rFonts w:ascii="Symbol" w:hAnsi="Symbol"/>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7" w15:restartNumberingAfterBreak="0">
    <w:nsid w:val="6F4743F2"/>
    <w:multiLevelType w:val="hybridMultilevel"/>
    <w:tmpl w:val="48566CE0"/>
    <w:lvl w:ilvl="0" w:tplc="04050017">
      <w:start w:val="1"/>
      <w:numFmt w:val="lowerLetter"/>
      <w:lvlText w:val="%1)"/>
      <w:lvlJc w:val="left"/>
      <w:pPr>
        <w:ind w:left="720" w:hanging="360"/>
      </w:pPr>
      <w:rPr>
        <w:rFonts w:cs="Times New Roman"/>
        <w:rtl w:val="0"/>
        <w:cs w:val="0"/>
      </w:rPr>
    </w:lvl>
    <w:lvl w:ilvl="1" w:tplc="04050019">
      <w:start w:val="1"/>
      <w:numFmt w:val="lowerLetter"/>
      <w:lvlText w:val="%2."/>
      <w:lvlJc w:val="left"/>
      <w:pPr>
        <w:ind w:left="1440" w:hanging="360"/>
      </w:pPr>
      <w:rPr>
        <w:rFonts w:cs="Times New Roman"/>
        <w:rtl w:val="0"/>
        <w:cs w:val="0"/>
      </w:rPr>
    </w:lvl>
    <w:lvl w:ilvl="2" w:tplc="0405001B">
      <w:start w:val="1"/>
      <w:numFmt w:val="lowerRoman"/>
      <w:lvlText w:val="%3."/>
      <w:lvlJc w:val="right"/>
      <w:pPr>
        <w:ind w:left="2160" w:hanging="180"/>
      </w:pPr>
      <w:rPr>
        <w:rFonts w:cs="Times New Roman"/>
        <w:rtl w:val="0"/>
        <w:cs w:val="0"/>
      </w:rPr>
    </w:lvl>
    <w:lvl w:ilvl="3" w:tplc="0405000F">
      <w:start w:val="1"/>
      <w:numFmt w:val="decimal"/>
      <w:lvlText w:val="%4."/>
      <w:lvlJc w:val="left"/>
      <w:pPr>
        <w:ind w:left="2880" w:hanging="360"/>
      </w:pPr>
      <w:rPr>
        <w:rFonts w:cs="Times New Roman"/>
        <w:rtl w:val="0"/>
        <w:cs w:val="0"/>
      </w:rPr>
    </w:lvl>
    <w:lvl w:ilvl="4" w:tplc="04050019">
      <w:start w:val="1"/>
      <w:numFmt w:val="lowerLetter"/>
      <w:lvlText w:val="%5."/>
      <w:lvlJc w:val="left"/>
      <w:pPr>
        <w:ind w:left="3600" w:hanging="360"/>
      </w:pPr>
      <w:rPr>
        <w:rFonts w:cs="Times New Roman"/>
        <w:rtl w:val="0"/>
        <w:cs w:val="0"/>
      </w:rPr>
    </w:lvl>
    <w:lvl w:ilvl="5" w:tplc="0405001B">
      <w:start w:val="1"/>
      <w:numFmt w:val="lowerRoman"/>
      <w:lvlText w:val="%6."/>
      <w:lvlJc w:val="right"/>
      <w:pPr>
        <w:ind w:left="4320" w:hanging="180"/>
      </w:pPr>
      <w:rPr>
        <w:rFonts w:cs="Times New Roman"/>
        <w:rtl w:val="0"/>
        <w:cs w:val="0"/>
      </w:rPr>
    </w:lvl>
    <w:lvl w:ilvl="6" w:tplc="0405000F">
      <w:start w:val="1"/>
      <w:numFmt w:val="decimal"/>
      <w:lvlText w:val="%7."/>
      <w:lvlJc w:val="left"/>
      <w:pPr>
        <w:ind w:left="5040" w:hanging="360"/>
      </w:pPr>
      <w:rPr>
        <w:rFonts w:cs="Times New Roman"/>
        <w:rtl w:val="0"/>
        <w:cs w:val="0"/>
      </w:rPr>
    </w:lvl>
    <w:lvl w:ilvl="7" w:tplc="04050019">
      <w:start w:val="1"/>
      <w:numFmt w:val="lowerLetter"/>
      <w:lvlText w:val="%8."/>
      <w:lvlJc w:val="left"/>
      <w:pPr>
        <w:ind w:left="5760" w:hanging="360"/>
      </w:pPr>
      <w:rPr>
        <w:rFonts w:cs="Times New Roman"/>
        <w:rtl w:val="0"/>
        <w:cs w:val="0"/>
      </w:rPr>
    </w:lvl>
    <w:lvl w:ilvl="8" w:tplc="0405001B">
      <w:start w:val="1"/>
      <w:numFmt w:val="lowerRoman"/>
      <w:lvlText w:val="%9."/>
      <w:lvlJc w:val="right"/>
      <w:pPr>
        <w:ind w:left="6480" w:hanging="180"/>
      </w:pPr>
      <w:rPr>
        <w:rFonts w:cs="Times New Roman"/>
        <w:rtl w:val="0"/>
        <w:cs w:val="0"/>
      </w:rPr>
    </w:lvl>
  </w:abstractNum>
  <w:abstractNum w:abstractNumId="8" w15:restartNumberingAfterBreak="0">
    <w:nsid w:val="71B1583B"/>
    <w:multiLevelType w:val="hybridMultilevel"/>
    <w:tmpl w:val="5688F2F2"/>
    <w:lvl w:ilvl="0" w:tplc="3348B864">
      <w:start w:val="1"/>
      <w:numFmt w:val="upperRoman"/>
      <w:pStyle w:val="Nadpis2"/>
      <w:lvlText w:val="%1."/>
      <w:lvlJc w:val="left"/>
      <w:pPr>
        <w:ind w:left="720" w:hanging="360"/>
      </w:pPr>
      <w:rPr>
        <w:rFonts w:cs="Times New Roman"/>
        <w:rtl w:val="0"/>
        <w:cs w:val="0"/>
      </w:rPr>
    </w:lvl>
    <w:lvl w:ilvl="1" w:tplc="04050019">
      <w:start w:val="1"/>
      <w:numFmt w:val="lowerLetter"/>
      <w:lvlText w:val="%2."/>
      <w:lvlJc w:val="left"/>
      <w:pPr>
        <w:ind w:left="1440" w:hanging="360"/>
      </w:pPr>
      <w:rPr>
        <w:rFonts w:cs="Times New Roman"/>
        <w:rtl w:val="0"/>
        <w:cs w:val="0"/>
      </w:rPr>
    </w:lvl>
    <w:lvl w:ilvl="2" w:tplc="0405001B">
      <w:start w:val="1"/>
      <w:numFmt w:val="lowerRoman"/>
      <w:lvlText w:val="%3."/>
      <w:lvlJc w:val="right"/>
      <w:pPr>
        <w:ind w:left="2160" w:hanging="180"/>
      </w:pPr>
      <w:rPr>
        <w:rFonts w:cs="Times New Roman"/>
        <w:rtl w:val="0"/>
        <w:cs w:val="0"/>
      </w:rPr>
    </w:lvl>
    <w:lvl w:ilvl="3" w:tplc="0405000F">
      <w:start w:val="1"/>
      <w:numFmt w:val="decimal"/>
      <w:lvlText w:val="%4."/>
      <w:lvlJc w:val="left"/>
      <w:pPr>
        <w:ind w:left="2880" w:hanging="360"/>
      </w:pPr>
      <w:rPr>
        <w:rFonts w:cs="Times New Roman"/>
        <w:rtl w:val="0"/>
        <w:cs w:val="0"/>
      </w:rPr>
    </w:lvl>
    <w:lvl w:ilvl="4" w:tplc="04050019">
      <w:start w:val="1"/>
      <w:numFmt w:val="lowerLetter"/>
      <w:lvlText w:val="%5."/>
      <w:lvlJc w:val="left"/>
      <w:pPr>
        <w:ind w:left="3600" w:hanging="360"/>
      </w:pPr>
      <w:rPr>
        <w:rFonts w:cs="Times New Roman"/>
        <w:rtl w:val="0"/>
        <w:cs w:val="0"/>
      </w:rPr>
    </w:lvl>
    <w:lvl w:ilvl="5" w:tplc="0405001B">
      <w:start w:val="1"/>
      <w:numFmt w:val="lowerRoman"/>
      <w:lvlText w:val="%6."/>
      <w:lvlJc w:val="right"/>
      <w:pPr>
        <w:ind w:left="4320" w:hanging="180"/>
      </w:pPr>
      <w:rPr>
        <w:rFonts w:cs="Times New Roman"/>
        <w:rtl w:val="0"/>
        <w:cs w:val="0"/>
      </w:rPr>
    </w:lvl>
    <w:lvl w:ilvl="6" w:tplc="0405000F">
      <w:start w:val="1"/>
      <w:numFmt w:val="decimal"/>
      <w:lvlText w:val="%7."/>
      <w:lvlJc w:val="left"/>
      <w:pPr>
        <w:ind w:left="5040" w:hanging="360"/>
      </w:pPr>
      <w:rPr>
        <w:rFonts w:cs="Times New Roman"/>
        <w:rtl w:val="0"/>
        <w:cs w:val="0"/>
      </w:rPr>
    </w:lvl>
    <w:lvl w:ilvl="7" w:tplc="04050019">
      <w:start w:val="1"/>
      <w:numFmt w:val="lowerLetter"/>
      <w:lvlText w:val="%8."/>
      <w:lvlJc w:val="left"/>
      <w:pPr>
        <w:ind w:left="5760" w:hanging="360"/>
      </w:pPr>
      <w:rPr>
        <w:rFonts w:cs="Times New Roman"/>
        <w:rtl w:val="0"/>
        <w:cs w:val="0"/>
      </w:rPr>
    </w:lvl>
    <w:lvl w:ilvl="8" w:tplc="0405001B">
      <w:start w:val="1"/>
      <w:numFmt w:val="lowerRoman"/>
      <w:lvlText w:val="%9."/>
      <w:lvlJc w:val="right"/>
      <w:pPr>
        <w:ind w:left="6480" w:hanging="180"/>
      </w:pPr>
      <w:rPr>
        <w:rFonts w:cs="Times New Roman"/>
        <w:rtl w:val="0"/>
        <w:cs w:val="0"/>
      </w:rPr>
    </w:lvl>
  </w:abstractNum>
  <w:num w:numId="1" w16cid:durableId="1325083646">
    <w:abstractNumId w:val="8"/>
  </w:num>
  <w:num w:numId="2" w16cid:durableId="1073746319">
    <w:abstractNumId w:val="3"/>
  </w:num>
  <w:num w:numId="3" w16cid:durableId="2078741549">
    <w:abstractNumId w:val="3"/>
  </w:num>
  <w:num w:numId="4" w16cid:durableId="575941065">
    <w:abstractNumId w:val="3"/>
    <w:lvlOverride w:ilvl="0">
      <w:startOverride w:val="1"/>
    </w:lvlOverride>
  </w:num>
  <w:num w:numId="5" w16cid:durableId="2018724198">
    <w:abstractNumId w:val="3"/>
    <w:lvlOverride w:ilvl="0">
      <w:startOverride w:val="1"/>
    </w:lvlOverride>
  </w:num>
  <w:num w:numId="6" w16cid:durableId="490557743">
    <w:abstractNumId w:val="5"/>
  </w:num>
  <w:num w:numId="7" w16cid:durableId="1576017181">
    <w:abstractNumId w:val="3"/>
    <w:lvlOverride w:ilvl="0">
      <w:startOverride w:val="1"/>
    </w:lvlOverride>
  </w:num>
  <w:num w:numId="8" w16cid:durableId="944994507">
    <w:abstractNumId w:val="3"/>
    <w:lvlOverride w:ilvl="0">
      <w:startOverride w:val="1"/>
    </w:lvlOverride>
  </w:num>
  <w:num w:numId="9" w16cid:durableId="2054187558">
    <w:abstractNumId w:val="3"/>
    <w:lvlOverride w:ilvl="0">
      <w:startOverride w:val="1"/>
    </w:lvlOverride>
  </w:num>
  <w:num w:numId="10" w16cid:durableId="464006474">
    <w:abstractNumId w:val="3"/>
    <w:lvlOverride w:ilvl="0">
      <w:startOverride w:val="1"/>
    </w:lvlOverride>
  </w:num>
  <w:num w:numId="11" w16cid:durableId="1696037368">
    <w:abstractNumId w:val="6"/>
  </w:num>
  <w:num w:numId="12" w16cid:durableId="1537959399">
    <w:abstractNumId w:val="2"/>
  </w:num>
  <w:num w:numId="13" w16cid:durableId="1798795898">
    <w:abstractNumId w:val="0"/>
  </w:num>
  <w:num w:numId="14" w16cid:durableId="511648902">
    <w:abstractNumId w:val="4"/>
  </w:num>
  <w:num w:numId="15" w16cid:durableId="118571290">
    <w:abstractNumId w:val="1"/>
  </w:num>
  <w:num w:numId="16" w16cid:durableId="499152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BD"/>
    <w:rsid w:val="00025968"/>
    <w:rsid w:val="000E0A65"/>
    <w:rsid w:val="0018656E"/>
    <w:rsid w:val="00384531"/>
    <w:rsid w:val="00A2498E"/>
    <w:rsid w:val="00AF6839"/>
    <w:rsid w:val="00CE36BD"/>
    <w:rsid w:val="00D2233A"/>
    <w:rsid w:val="00E1674C"/>
  </w:rsids>
  <m:mathPr>
    <m:mathFont m:val="Cambria Math"/>
    <m:brkBin m:val="before"/>
    <m:brkBinSub m:val="--"/>
    <m:smallFrac m:val="0"/>
    <m:dispDef/>
    <m:lMargin m:val="0"/>
    <m:rMargin m:val="0"/>
    <m:defJc m:val="centerGroup"/>
    <m:wrapIndent m:val="0"/>
    <m:intLim m:val="undOvr"/>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55AA6"/>
  <w15:docId w15:val="{F26B5FAF-3C95-4C00-8F10-B6DE95FF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next w:val="Normln"/>
    <w:uiPriority w:val="9"/>
    <w:qFormat/>
    <w:pPr>
      <w:spacing w:after="160"/>
      <w:contextualSpacing/>
      <w:jc w:val="center"/>
      <w:outlineLvl w:val="0"/>
    </w:pPr>
    <w:rPr>
      <w:rFonts w:ascii="Times New Roman" w:eastAsia="Times New Roman" w:hAnsi="Times New Roman" w:cs="Times New Roman"/>
      <w:b/>
      <w:bCs/>
      <w:sz w:val="32"/>
      <w:szCs w:val="32"/>
    </w:rPr>
  </w:style>
  <w:style w:type="paragraph" w:styleId="Nadpis2">
    <w:name w:val="heading 2"/>
    <w:basedOn w:val="Nadpis1"/>
    <w:next w:val="Normln"/>
    <w:uiPriority w:val="9"/>
    <w:unhideWhenUsed/>
    <w:qFormat/>
    <w:pPr>
      <w:numPr>
        <w:numId w:val="1"/>
      </w:numPr>
      <w:spacing w:before="240" w:after="360"/>
      <w:outlineLvl w:val="1"/>
    </w:pPr>
    <w:rPr>
      <w:sz w:val="28"/>
      <w:szCs w:val="28"/>
      <w:lang w:eastAsia="en-US"/>
    </w:rPr>
  </w:style>
  <w:style w:type="paragraph" w:styleId="Nadpis3">
    <w:name w:val="heading 3"/>
    <w:basedOn w:val="Nadpis2"/>
    <w:next w:val="Normln"/>
    <w:uiPriority w:val="9"/>
    <w:unhideWhenUsed/>
    <w:qFormat/>
    <w:pPr>
      <w:numPr>
        <w:numId w:val="2"/>
      </w:numPr>
      <w:spacing w:before="120" w:after="0" w:line="360" w:lineRule="auto"/>
      <w:ind w:left="1077"/>
      <w:contextualSpacing w:val="0"/>
      <w:jc w:val="both"/>
      <w:outlineLvl w:val="2"/>
    </w:pPr>
    <w:rPr>
      <w:b w:val="0"/>
      <w:bCs w:val="0"/>
      <w:sz w:val="24"/>
      <w:szCs w:val="24"/>
    </w:rPr>
  </w:style>
  <w:style w:type="paragraph" w:styleId="Nadpis4">
    <w:name w:val="heading 4"/>
    <w:next w:val="Normln"/>
    <w:uiPriority w:val="9"/>
    <w:unhideWhenUsed/>
    <w:qFormat/>
    <w:pPr>
      <w:numPr>
        <w:numId w:val="6"/>
      </w:numPr>
      <w:spacing w:line="360" w:lineRule="auto"/>
      <w:contextualSpacing/>
      <w:outlineLvl w:val="3"/>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rPr>
      <w:rFonts w:asciiTheme="minorHAnsi" w:eastAsia="Times New Roman" w:hAnsiTheme="minorHAnsi"/>
    </w:rPr>
  </w:style>
  <w:style w:type="paragraph" w:styleId="Zpat">
    <w:name w:val="footer"/>
    <w:basedOn w:val="Normln"/>
    <w:pPr>
      <w:tabs>
        <w:tab w:val="center" w:pos="4536"/>
        <w:tab w:val="right" w:pos="9072"/>
      </w:tabs>
    </w:pPr>
    <w:rPr>
      <w:rFonts w:asciiTheme="minorHAnsi" w:eastAsia="Times New Roman" w:hAnsiTheme="minorHAnsi"/>
    </w:rPr>
  </w:style>
  <w:style w:type="paragraph" w:styleId="Podnadpis">
    <w:name w:val="Subtitle"/>
    <w:basedOn w:val="Normln"/>
    <w:next w:val="Normln"/>
    <w:uiPriority w:val="11"/>
    <w:qFormat/>
    <w:pPr>
      <w:spacing w:after="160" w:line="259" w:lineRule="auto"/>
      <w:jc w:val="center"/>
    </w:pPr>
    <w:rPr>
      <w:rFonts w:ascii="Times New Roman" w:eastAsia="Times New Roman" w:hAnsi="Times New Roman" w:cs="Times New Roman"/>
      <w:sz w:val="24"/>
      <w:szCs w:val="24"/>
    </w:rPr>
  </w:style>
  <w:style w:type="character" w:styleId="slodku">
    <w:name w:val="line number"/>
    <w:basedOn w:val="Standardnpsmoodstavce"/>
    <w:semiHidden/>
  </w:style>
  <w:style w:type="character" w:styleId="Hypertextovodkaz">
    <w:name w:val="Hyperlink"/>
    <w:rPr>
      <w:color w:val="0000FF"/>
      <w:u w:val="single"/>
    </w:rPr>
  </w:style>
  <w:style w:type="table" w:styleId="Jednoduchtabulka1">
    <w:name w:val="Table Simple 1"/>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904</Words>
  <Characters>5336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Ohlidalova</dc:creator>
  <cp:lastModifiedBy>Veronika Ohlidalova</cp:lastModifiedBy>
  <cp:revision>4</cp:revision>
  <dcterms:created xsi:type="dcterms:W3CDTF">2025-06-30T06:23:00Z</dcterms:created>
  <dcterms:modified xsi:type="dcterms:W3CDTF">2025-10-13T07:47:00Z</dcterms:modified>
</cp:coreProperties>
</file>